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BB" w:rsidRDefault="00B75BBB" w:rsidP="00B75BBB">
      <w:pPr>
        <w:pStyle w:val="Default"/>
        <w:spacing w:line="300" w:lineRule="auto"/>
        <w:jc w:val="center"/>
        <w:rPr>
          <w:b/>
        </w:rPr>
      </w:pPr>
      <w:r w:rsidRPr="00B75BBB">
        <w:rPr>
          <w:b/>
        </w:rPr>
        <w:drawing>
          <wp:inline distT="0" distB="0" distL="0" distR="0">
            <wp:extent cx="5937900" cy="9397388"/>
            <wp:effectExtent l="19050" t="0" r="570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BB" w:rsidRPr="006C579D" w:rsidRDefault="00B75BBB" w:rsidP="00B75BBB">
      <w:pPr>
        <w:pStyle w:val="Default"/>
        <w:spacing w:line="300" w:lineRule="auto"/>
        <w:jc w:val="center"/>
        <w:rPr>
          <w:b/>
          <w:bCs/>
        </w:rPr>
      </w:pPr>
      <w:r w:rsidRPr="007D4ECC">
        <w:rPr>
          <w:b/>
        </w:rPr>
        <w:lastRenderedPageBreak/>
        <w:t>Пояснительная записка к учебному плану внеурочной деятельности</w:t>
      </w:r>
      <w:r>
        <w:t xml:space="preserve">  </w:t>
      </w:r>
      <w:r w:rsidRPr="006C579D">
        <w:rPr>
          <w:b/>
          <w:bCs/>
        </w:rPr>
        <w:t xml:space="preserve">Лицея </w:t>
      </w:r>
      <w:proofErr w:type="spellStart"/>
      <w:r w:rsidRPr="006C579D">
        <w:rPr>
          <w:b/>
          <w:bCs/>
        </w:rPr>
        <w:t>СамГТУ</w:t>
      </w:r>
      <w:proofErr w:type="spellEnd"/>
      <w:r w:rsidRPr="006C579D">
        <w:rPr>
          <w:b/>
          <w:bCs/>
        </w:rPr>
        <w:t xml:space="preserve"> в рамках реализации ФГОС СОО</w:t>
      </w:r>
    </w:p>
    <w:p w:rsidR="00B75BBB" w:rsidRDefault="00B75BBB" w:rsidP="00B75BBB">
      <w:pPr>
        <w:numPr>
          <w:ilvl w:val="0"/>
          <w:numId w:val="1"/>
        </w:numPr>
        <w:spacing w:after="0" w:line="30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7627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Самарской области от17.02.2016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27">
        <w:rPr>
          <w:rFonts w:ascii="Times New Roman" w:hAnsi="Times New Roman" w:cs="Times New Roman"/>
          <w:sz w:val="24"/>
          <w:szCs w:val="24"/>
        </w:rPr>
        <w:t xml:space="preserve"> МО-16-09-01/173-ту «О внеурочной деятельности».</w:t>
      </w:r>
    </w:p>
    <w:p w:rsidR="00B75BBB" w:rsidRPr="00715A12" w:rsidRDefault="00B75BBB" w:rsidP="00B75BBB">
      <w:pPr>
        <w:pStyle w:val="a4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BB6FF4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в Лицее </w:t>
      </w:r>
      <w:proofErr w:type="spellStart"/>
      <w:r w:rsidRPr="00BB6FF4">
        <w:rPr>
          <w:rFonts w:ascii="Times New Roman" w:hAnsi="Times New Roman" w:cs="Times New Roman"/>
          <w:sz w:val="24"/>
          <w:szCs w:val="24"/>
        </w:rPr>
        <w:t>СамГТУ</w:t>
      </w:r>
      <w:proofErr w:type="spellEnd"/>
      <w:r w:rsidRPr="00BB6FF4">
        <w:rPr>
          <w:rFonts w:ascii="Times New Roman" w:hAnsi="Times New Roman" w:cs="Times New Roman"/>
          <w:sz w:val="24"/>
          <w:szCs w:val="24"/>
        </w:rPr>
        <w:t>.</w:t>
      </w:r>
    </w:p>
    <w:p w:rsidR="00B75BBB" w:rsidRPr="006C579D" w:rsidRDefault="00B75BBB" w:rsidP="00B75BBB">
      <w:pPr>
        <w:pStyle w:val="Default"/>
        <w:spacing w:line="300" w:lineRule="auto"/>
        <w:ind w:firstLine="708"/>
        <w:jc w:val="center"/>
      </w:pPr>
    </w:p>
    <w:p w:rsidR="00B75BBB" w:rsidRPr="006C579D" w:rsidRDefault="00B75BBB" w:rsidP="00B75BBB">
      <w:pPr>
        <w:pStyle w:val="Default"/>
        <w:spacing w:line="300" w:lineRule="auto"/>
        <w:jc w:val="both"/>
      </w:pPr>
      <w:r>
        <w:t xml:space="preserve"> </w:t>
      </w:r>
      <w:r w:rsidRPr="006C579D">
        <w:t xml:space="preserve">Внеурочная деятельность в соответствии с требованиями </w:t>
      </w:r>
      <w:r>
        <w:t xml:space="preserve">Федерального государственного </w:t>
      </w:r>
      <w:r w:rsidRPr="006C579D">
        <w:t xml:space="preserve">Стандарта </w:t>
      </w:r>
      <w:r>
        <w:t xml:space="preserve">среднего общего образования </w:t>
      </w:r>
      <w:r w:rsidRPr="006C579D">
        <w:t xml:space="preserve">организуется по </w:t>
      </w:r>
      <w:r>
        <w:t xml:space="preserve">трем направлениям: Жизнь ученических сообществ, организованное обеспечение учебного процесса, духовно-нравственное, - </w:t>
      </w:r>
      <w:proofErr w:type="gramStart"/>
      <w:r>
        <w:t>реализующим</w:t>
      </w:r>
      <w:proofErr w:type="gramEnd"/>
      <w:r>
        <w:t xml:space="preserve">  </w:t>
      </w:r>
      <w:r w:rsidRPr="00E80A29">
        <w:t xml:space="preserve">основные  направления  развития  личности  (духовно-нравственное,  социальное, </w:t>
      </w:r>
      <w:proofErr w:type="spellStart"/>
      <w:r w:rsidRPr="00E80A29">
        <w:t>общеинтеллектуальное</w:t>
      </w:r>
      <w:proofErr w:type="spellEnd"/>
      <w:r w:rsidRPr="00E80A29">
        <w:t>, общекультурное, спортивно-оздоровительное).</w:t>
      </w:r>
      <w:r w:rsidRPr="006C579D">
        <w:t xml:space="preserve"> Организация  занятий по  этим  направлениям  является  неотъемлемой  частью образовательного процесса в Лицее на уровне среднего общего образования,   использует  содержательный  и  организационный  опыт,  накопленный при реализации ФГОС на предыдущем уровне. В  каждом  профиле  система  внеурочной  деятельности  и  дополнительного образования позволяет учащимся получить более узкую специализацию. Таким образом, обеспечивается  принцип  вариативности  и  дифференциации среднего образования в пределах единого образовательного пространства Лицея.</w:t>
      </w:r>
    </w:p>
    <w:p w:rsidR="00B75BBB" w:rsidRPr="006C579D" w:rsidRDefault="00B75BBB" w:rsidP="00B75BBB">
      <w:pPr>
        <w:pStyle w:val="Default"/>
        <w:spacing w:line="300" w:lineRule="auto"/>
        <w:jc w:val="both"/>
      </w:pPr>
      <w:r w:rsidRPr="006C579D">
        <w:t>Формы внеурочной деятельности по направлениям:</w:t>
      </w:r>
    </w:p>
    <w:tbl>
      <w:tblPr>
        <w:tblStyle w:val="a3"/>
        <w:tblW w:w="0" w:type="auto"/>
        <w:tblLook w:val="04A0"/>
      </w:tblPr>
      <w:tblGrid>
        <w:gridCol w:w="4848"/>
        <w:gridCol w:w="4723"/>
      </w:tblGrid>
      <w:tr w:rsidR="00B75BBB" w:rsidRPr="006C579D" w:rsidTr="00EA51D3">
        <w:tc>
          <w:tcPr>
            <w:tcW w:w="5227" w:type="dxa"/>
          </w:tcPr>
          <w:p w:rsidR="00B75BBB" w:rsidRPr="006C579D" w:rsidRDefault="00B75BBB" w:rsidP="00EA51D3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деятельности по направлениям</w:t>
            </w:r>
          </w:p>
        </w:tc>
        <w:tc>
          <w:tcPr>
            <w:tcW w:w="5195" w:type="dxa"/>
          </w:tcPr>
          <w:p w:rsidR="00B75BBB" w:rsidRPr="006C579D" w:rsidRDefault="00B75BBB" w:rsidP="00EA51D3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  <w:p w:rsidR="00B75BBB" w:rsidRPr="006C579D" w:rsidRDefault="00B75BBB" w:rsidP="00EA51D3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B75BBB" w:rsidRPr="006C579D" w:rsidTr="00EA51D3">
        <w:tc>
          <w:tcPr>
            <w:tcW w:w="5227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proofErr w:type="spellStart"/>
            <w:r w:rsidRPr="006C579D">
              <w:t>Общеинтеллектуальное</w:t>
            </w:r>
            <w:proofErr w:type="spellEnd"/>
          </w:p>
        </w:tc>
        <w:tc>
          <w:tcPr>
            <w:tcW w:w="5195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proofErr w:type="spellStart"/>
            <w:r w:rsidRPr="006C579D">
              <w:t>Метапредметные</w:t>
            </w:r>
            <w:proofErr w:type="spellEnd"/>
            <w:r w:rsidRPr="006C579D">
              <w:t xml:space="preserve"> дни;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Лицейское научное общество;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Конференции;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Участие в олимпиадах;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 xml:space="preserve">Участие в конкурсах на уровне Лицея, 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муниципалитета, региона;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Разработка проектов;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>
              <w:t>Мастер-классы</w:t>
            </w:r>
          </w:p>
        </w:tc>
      </w:tr>
      <w:tr w:rsidR="00B75BBB" w:rsidRPr="006C579D" w:rsidTr="00EA51D3">
        <w:tc>
          <w:tcPr>
            <w:tcW w:w="5227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Общекультурное</w:t>
            </w:r>
          </w:p>
        </w:tc>
        <w:tc>
          <w:tcPr>
            <w:tcW w:w="5195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Подготовка и участие в различных творческих конкурсах;</w:t>
            </w:r>
          </w:p>
          <w:p w:rsidR="00B75BBB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экскурсии;</w:t>
            </w:r>
          </w:p>
          <w:p w:rsidR="00B75BBB" w:rsidRDefault="00B75BBB" w:rsidP="00EA51D3">
            <w:pPr>
              <w:pStyle w:val="Default"/>
              <w:spacing w:line="300" w:lineRule="auto"/>
              <w:jc w:val="both"/>
            </w:pPr>
            <w:r>
              <w:t>походы в театры, музеи,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Подготовка и участие в выставках творческих работ учащихся;</w:t>
            </w:r>
          </w:p>
          <w:p w:rsidR="00B75BBB" w:rsidRDefault="00B75BBB" w:rsidP="00EA51D3">
            <w:pPr>
              <w:pStyle w:val="Default"/>
              <w:spacing w:line="300" w:lineRule="auto"/>
              <w:jc w:val="both"/>
            </w:pPr>
            <w:r>
              <w:t>Организация пленэров;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>
              <w:t>Организация выставок художественных работ</w:t>
            </w:r>
          </w:p>
        </w:tc>
      </w:tr>
      <w:tr w:rsidR="00B75BBB" w:rsidRPr="006C579D" w:rsidTr="00EA51D3">
        <w:tc>
          <w:tcPr>
            <w:tcW w:w="5227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Спортивно-оздоровительное</w:t>
            </w:r>
          </w:p>
        </w:tc>
        <w:tc>
          <w:tcPr>
            <w:tcW w:w="5195" w:type="dxa"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 xml:space="preserve">Организация Дней здоровья, 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Проведение бесед по ЗОЖ и охране здоровья</w:t>
            </w:r>
          </w:p>
        </w:tc>
      </w:tr>
      <w:tr w:rsidR="00B75BBB" w:rsidRPr="006C579D" w:rsidTr="00EA51D3">
        <w:tc>
          <w:tcPr>
            <w:tcW w:w="5227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lastRenderedPageBreak/>
              <w:t>Социальное</w:t>
            </w:r>
          </w:p>
        </w:tc>
        <w:tc>
          <w:tcPr>
            <w:tcW w:w="5195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Общественно-полезные практики;</w:t>
            </w:r>
          </w:p>
        </w:tc>
      </w:tr>
      <w:tr w:rsidR="00B75BBB" w:rsidRPr="006C579D" w:rsidTr="00EA51D3">
        <w:tc>
          <w:tcPr>
            <w:tcW w:w="5227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Духовно-нравственное</w:t>
            </w:r>
          </w:p>
        </w:tc>
        <w:tc>
          <w:tcPr>
            <w:tcW w:w="5195" w:type="dxa"/>
          </w:tcPr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Дни театра;</w:t>
            </w:r>
          </w:p>
          <w:p w:rsidR="00B75BBB" w:rsidRPr="006C579D" w:rsidRDefault="00B75BBB" w:rsidP="00EA51D3">
            <w:pPr>
              <w:pStyle w:val="Default"/>
              <w:spacing w:line="300" w:lineRule="auto"/>
              <w:jc w:val="both"/>
            </w:pPr>
            <w:r w:rsidRPr="006C579D">
              <w:t>Проведение тематических классных часов, встреч, бесед</w:t>
            </w:r>
          </w:p>
        </w:tc>
      </w:tr>
    </w:tbl>
    <w:p w:rsidR="00B75BBB" w:rsidRDefault="00B75BBB" w:rsidP="00B75BBB">
      <w:pPr>
        <w:pStyle w:val="Default"/>
        <w:spacing w:line="300" w:lineRule="auto"/>
        <w:jc w:val="both"/>
      </w:pPr>
      <w:r>
        <w:t xml:space="preserve"> </w:t>
      </w:r>
      <w:r>
        <w:tab/>
      </w:r>
    </w:p>
    <w:p w:rsidR="00B75BBB" w:rsidRDefault="00B75BBB" w:rsidP="00B75BBB">
      <w:pPr>
        <w:pStyle w:val="Default"/>
        <w:spacing w:line="300" w:lineRule="auto"/>
        <w:ind w:firstLine="708"/>
        <w:jc w:val="both"/>
      </w:pPr>
      <w:r w:rsidRPr="00FE3944">
        <w:t xml:space="preserve">Внеурочная  деятельность  осуществляется  на  основе  вышеперечисленных  направлений  в  соответствии  с  планом  и расписанием занятий </w:t>
      </w:r>
      <w:r>
        <w:t>204</w:t>
      </w:r>
      <w:r w:rsidRPr="00FE3944">
        <w:t xml:space="preserve"> </w:t>
      </w:r>
      <w:r>
        <w:t xml:space="preserve">часа </w:t>
      </w:r>
      <w:r w:rsidRPr="00FE3944">
        <w:t>за два</w:t>
      </w:r>
      <w:r>
        <w:t xml:space="preserve"> </w:t>
      </w:r>
      <w:r w:rsidRPr="00FE3944">
        <w:t xml:space="preserve">года обучения, в год </w:t>
      </w:r>
      <w:proofErr w:type="gramStart"/>
      <w:r w:rsidRPr="00FE3944">
        <w:t>–н</w:t>
      </w:r>
      <w:proofErr w:type="gramEnd"/>
      <w:r w:rsidRPr="00FE3944">
        <w:t xml:space="preserve">е более </w:t>
      </w:r>
      <w:r>
        <w:t>102</w:t>
      </w:r>
      <w:r w:rsidRPr="00FE3944">
        <w:t xml:space="preserve"> часов.</w:t>
      </w:r>
      <w:r>
        <w:t xml:space="preserve"> </w:t>
      </w:r>
    </w:p>
    <w:p w:rsidR="00B75BBB" w:rsidRDefault="00B75BBB" w:rsidP="00B75BBB">
      <w:pPr>
        <w:pStyle w:val="Default"/>
        <w:spacing w:line="300" w:lineRule="auto"/>
        <w:ind w:firstLine="708"/>
        <w:jc w:val="both"/>
      </w:pPr>
      <w:proofErr w:type="gramStart"/>
      <w:r w:rsidRPr="00FE3944">
        <w:t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 внеурочной  деятельности  может  сокращаться  при  предоставлении  родителями  (законным</w:t>
      </w:r>
      <w:r>
        <w:t xml:space="preserve">и  представителями) обучающихся </w:t>
      </w:r>
      <w:r w:rsidRPr="00FE3944">
        <w:t xml:space="preserve"> справок указанных организаций.</w:t>
      </w:r>
      <w:r>
        <w:t xml:space="preserve"> </w:t>
      </w:r>
      <w:proofErr w:type="gramEnd"/>
    </w:p>
    <w:p w:rsidR="00B75BBB" w:rsidRDefault="00B75BBB" w:rsidP="00B75BBB">
      <w:pPr>
        <w:pStyle w:val="Default"/>
        <w:spacing w:line="300" w:lineRule="auto"/>
        <w:ind w:firstLine="708"/>
        <w:jc w:val="both"/>
      </w:pPr>
      <w:r w:rsidRPr="00FE3944">
        <w:t>Также  в</w:t>
      </w:r>
      <w:r>
        <w:t xml:space="preserve"> </w:t>
      </w:r>
      <w:r w:rsidRPr="00FE3944">
        <w:t xml:space="preserve">плане  внеурочной  деятельности  заложены  модули  классного  руководителя  (классные  часы,  экскурсии, </w:t>
      </w:r>
      <w:r>
        <w:t>дни театра, посещение выставок и</w:t>
      </w:r>
      <w:r w:rsidRPr="00FE3944">
        <w:t xml:space="preserve"> </w:t>
      </w:r>
      <w:proofErr w:type="spellStart"/>
      <w:proofErr w:type="gramStart"/>
      <w:r w:rsidRPr="00FE3944">
        <w:t>др</w:t>
      </w:r>
      <w:proofErr w:type="spellEnd"/>
      <w:proofErr w:type="gramEnd"/>
      <w:r w:rsidRPr="00FE3944">
        <w:t>). В модуле клас</w:t>
      </w:r>
      <w:r>
        <w:t>сного руководителя может отсутст</w:t>
      </w:r>
      <w:r w:rsidRPr="00FE3944">
        <w:t>вовать расписание занятий внеурочной деятельности, так как занятия</w:t>
      </w:r>
      <w:r>
        <w:t xml:space="preserve"> </w:t>
      </w:r>
      <w:r w:rsidRPr="00FE3944">
        <w:t>(мероприятия)</w:t>
      </w:r>
      <w:r>
        <w:t xml:space="preserve"> </w:t>
      </w:r>
      <w:r w:rsidRPr="00FE3944">
        <w:t>проводятся в свободной форме, с  учётом скользящего</w:t>
      </w:r>
      <w:r>
        <w:t xml:space="preserve"> графика проведения мероприятий</w:t>
      </w:r>
      <w:r w:rsidRPr="00FE3944">
        <w:t>. Возможно проведение занятий с группой обучающихся, с учётом  их  интересов  и  индивидуальных  особенностей.  Образовательная  нагрузка  несистемных занятий  (мероприятий)</w:t>
      </w:r>
      <w:r>
        <w:t xml:space="preserve"> </w:t>
      </w:r>
      <w:r w:rsidRPr="00FE3944">
        <w:t xml:space="preserve">распределяется в рамках </w:t>
      </w:r>
      <w:r>
        <w:t>полугодия</w:t>
      </w:r>
      <w:r w:rsidRPr="00FE3944">
        <w:t xml:space="preserve">. Классный руководитель ведёт учёт всех занятий. Для оптимизации занятий внеурочной деятельности и с учётом требований норм </w:t>
      </w:r>
      <w:proofErr w:type="spellStart"/>
      <w:r w:rsidRPr="00FE3944">
        <w:t>СанПиН</w:t>
      </w:r>
      <w:proofErr w:type="spellEnd"/>
      <w:r w:rsidRPr="00FE3944">
        <w:t xml:space="preserve"> 2.4.2.2821-10 «Санитарно-эпидемиологические требования к условиям и организации обучения в общеобразовательных учреждениях» эти занятия (мероприятия) отсутствуют в сетке расписания занятий внеурочной деятельности. </w:t>
      </w:r>
    </w:p>
    <w:p w:rsidR="00B75BBB" w:rsidRDefault="00B75BBB" w:rsidP="00B75BBB">
      <w:pPr>
        <w:pStyle w:val="Default"/>
        <w:spacing w:line="300" w:lineRule="auto"/>
        <w:ind w:firstLine="708"/>
        <w:jc w:val="both"/>
      </w:pPr>
      <w:r w:rsidRPr="00341E0F">
        <w:t xml:space="preserve">Реализация плана внеурочной деятельности предусматривает в течение учебного года неравномерное распределение нагрузки. Так, при подготовке коллективных дел (в рамках класса, </w:t>
      </w:r>
      <w:proofErr w:type="spellStart"/>
      <w:r w:rsidRPr="00341E0F">
        <w:t>обще</w:t>
      </w:r>
      <w:r>
        <w:t>лицейских</w:t>
      </w:r>
      <w:proofErr w:type="spellEnd"/>
      <w:r w:rsidRPr="00341E0F">
        <w:t xml:space="preserve"> дел) и воспитательных мероприятий (например, в рамках реализации годового цикла </w:t>
      </w:r>
      <w:r>
        <w:t>лицейских</w:t>
      </w:r>
      <w:r w:rsidRPr="00341E0F">
        <w:t xml:space="preserve"> праздников, </w:t>
      </w:r>
      <w:r>
        <w:t>лицейского дня науки</w:t>
      </w:r>
      <w:r w:rsidRPr="00341E0F">
        <w:t xml:space="preserve"> и др.) за 1-2 недели используется значительно больший объем времени, чем в иные периоды (между образовательными событиями).</w:t>
      </w:r>
    </w:p>
    <w:p w:rsidR="00B75BBB" w:rsidRDefault="00B75BBB" w:rsidP="00B75BBB">
      <w:pPr>
        <w:pStyle w:val="Default"/>
        <w:spacing w:line="300" w:lineRule="auto"/>
        <w:ind w:firstLine="708"/>
        <w:jc w:val="both"/>
      </w:pPr>
      <w:r w:rsidRPr="00FE3944">
        <w:t xml:space="preserve">Продолжительность  системных  занятий  внеурочной  деятельности  составляет  40  минут.  Внеурочные  занятия (мероприятия) проводятся как с группой </w:t>
      </w:r>
      <w:r>
        <w:t>учащихся</w:t>
      </w:r>
      <w:r w:rsidRPr="00FE3944">
        <w:t xml:space="preserve"> одного класса, так и с группой разных классов, с учетом выбора учащихся</w:t>
      </w:r>
      <w:r>
        <w:t xml:space="preserve">. </w:t>
      </w:r>
      <w:r w:rsidRPr="00FE3944">
        <w:t>Внеурочная деятельность может быть реализована как в течение учебной недели, так и во время каникул, в выходные и нерабочие праздничные дни.</w:t>
      </w:r>
    </w:p>
    <w:p w:rsidR="00B75BBB" w:rsidRDefault="00B75BBB" w:rsidP="00B75B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B75BBB" w:rsidRDefault="00B75BBB" w:rsidP="00B75BBB">
      <w:pPr>
        <w:pStyle w:val="Default"/>
        <w:spacing w:line="300" w:lineRule="auto"/>
        <w:ind w:firstLine="708"/>
        <w:jc w:val="both"/>
      </w:pPr>
      <w:r>
        <w:lastRenderedPageBreak/>
        <w:t>Учебный план внеурочной деятельности на 2020/2021 учебный год</w:t>
      </w:r>
    </w:p>
    <w:tbl>
      <w:tblPr>
        <w:tblStyle w:val="a3"/>
        <w:tblW w:w="0" w:type="auto"/>
        <w:tblLook w:val="04A0"/>
      </w:tblPr>
      <w:tblGrid>
        <w:gridCol w:w="667"/>
        <w:gridCol w:w="2260"/>
        <w:gridCol w:w="3166"/>
        <w:gridCol w:w="1536"/>
        <w:gridCol w:w="1942"/>
      </w:tblGrid>
      <w:tr w:rsidR="00B75BBB" w:rsidTr="00EA51D3">
        <w:tc>
          <w:tcPr>
            <w:tcW w:w="726" w:type="dxa"/>
          </w:tcPr>
          <w:p w:rsidR="00B75BBB" w:rsidRPr="00E5600B" w:rsidRDefault="00B75BBB" w:rsidP="00EA51D3">
            <w:pPr>
              <w:pStyle w:val="Default"/>
              <w:spacing w:line="300" w:lineRule="auto"/>
              <w:jc w:val="center"/>
              <w:rPr>
                <w:b/>
              </w:rPr>
            </w:pPr>
            <w:r w:rsidRPr="00E5600B">
              <w:rPr>
                <w:b/>
              </w:rPr>
              <w:t xml:space="preserve">№ </w:t>
            </w:r>
            <w:proofErr w:type="spellStart"/>
            <w:proofErr w:type="gramStart"/>
            <w:r w:rsidRPr="00E5600B">
              <w:rPr>
                <w:b/>
              </w:rPr>
              <w:t>п</w:t>
            </w:r>
            <w:proofErr w:type="spellEnd"/>
            <w:proofErr w:type="gramEnd"/>
            <w:r w:rsidRPr="00E5600B">
              <w:rPr>
                <w:b/>
              </w:rPr>
              <w:t>/</w:t>
            </w:r>
            <w:proofErr w:type="spellStart"/>
            <w:r w:rsidRPr="00E5600B">
              <w:rPr>
                <w:b/>
              </w:rPr>
              <w:t>п</w:t>
            </w:r>
            <w:proofErr w:type="spellEnd"/>
          </w:p>
        </w:tc>
        <w:tc>
          <w:tcPr>
            <w:tcW w:w="2460" w:type="dxa"/>
          </w:tcPr>
          <w:p w:rsidR="00B75BBB" w:rsidRPr="00E5600B" w:rsidRDefault="00B75BBB" w:rsidP="00EA51D3">
            <w:pPr>
              <w:pStyle w:val="Default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3738" w:type="dxa"/>
          </w:tcPr>
          <w:p w:rsidR="00B75BBB" w:rsidRPr="00E5600B" w:rsidRDefault="00B75BBB" w:rsidP="00EA51D3">
            <w:pPr>
              <w:pStyle w:val="Default"/>
              <w:spacing w:line="300" w:lineRule="auto"/>
              <w:jc w:val="center"/>
              <w:rPr>
                <w:b/>
              </w:rPr>
            </w:pPr>
            <w:r w:rsidRPr="00E5600B">
              <w:rPr>
                <w:b/>
              </w:rPr>
              <w:t>Мероприятие</w:t>
            </w:r>
          </w:p>
        </w:tc>
        <w:tc>
          <w:tcPr>
            <w:tcW w:w="1556" w:type="dxa"/>
          </w:tcPr>
          <w:p w:rsidR="00B75BBB" w:rsidRPr="00E5600B" w:rsidRDefault="00B75BBB" w:rsidP="00EA51D3">
            <w:pPr>
              <w:pStyle w:val="Default"/>
              <w:spacing w:line="300" w:lineRule="auto"/>
              <w:jc w:val="center"/>
              <w:rPr>
                <w:b/>
              </w:rPr>
            </w:pPr>
            <w:r w:rsidRPr="00E5600B">
              <w:rPr>
                <w:b/>
              </w:rPr>
              <w:t xml:space="preserve">Количество часов в </w:t>
            </w:r>
            <w:r>
              <w:rPr>
                <w:b/>
              </w:rPr>
              <w:t>неделю</w:t>
            </w:r>
          </w:p>
        </w:tc>
        <w:tc>
          <w:tcPr>
            <w:tcW w:w="1942" w:type="dxa"/>
          </w:tcPr>
          <w:p w:rsidR="00B75BBB" w:rsidRPr="00E5600B" w:rsidRDefault="00B75BBB" w:rsidP="00EA51D3">
            <w:pPr>
              <w:pStyle w:val="Default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B75BBB" w:rsidTr="00EA51D3">
        <w:tc>
          <w:tcPr>
            <w:tcW w:w="726" w:type="dxa"/>
            <w:vMerge w:val="restart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 w:rsidRPr="00341E0F">
              <w:t>1.</w:t>
            </w:r>
          </w:p>
        </w:tc>
        <w:tc>
          <w:tcPr>
            <w:tcW w:w="2460" w:type="dxa"/>
            <w:vMerge w:val="restart"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  <w:r>
              <w:t>Духовно-нравственное</w:t>
            </w:r>
          </w:p>
        </w:tc>
        <w:tc>
          <w:tcPr>
            <w:tcW w:w="3738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Нравственные основы семейной жизни (10-11-е классы)</w:t>
            </w:r>
          </w:p>
        </w:tc>
        <w:tc>
          <w:tcPr>
            <w:tcW w:w="1556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1</w:t>
            </w:r>
          </w:p>
        </w:tc>
        <w:tc>
          <w:tcPr>
            <w:tcW w:w="1942" w:type="dxa"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  <w:r>
              <w:t>анкета</w:t>
            </w:r>
          </w:p>
        </w:tc>
      </w:tr>
      <w:tr w:rsidR="00B75BBB" w:rsidTr="00EA51D3">
        <w:tc>
          <w:tcPr>
            <w:tcW w:w="726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  <w:vMerge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3738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Дни театра</w:t>
            </w:r>
          </w:p>
        </w:tc>
        <w:tc>
          <w:tcPr>
            <w:tcW w:w="1556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0,4</w:t>
            </w:r>
          </w:p>
        </w:tc>
        <w:tc>
          <w:tcPr>
            <w:tcW w:w="1942" w:type="dxa"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  <w:r>
              <w:t>отзыв</w:t>
            </w:r>
          </w:p>
        </w:tc>
      </w:tr>
      <w:tr w:rsidR="00B75BBB" w:rsidTr="00EA51D3">
        <w:tc>
          <w:tcPr>
            <w:tcW w:w="726" w:type="dxa"/>
            <w:vMerge w:val="restart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 w:rsidRPr="00341E0F">
              <w:t>2.</w:t>
            </w:r>
          </w:p>
        </w:tc>
        <w:tc>
          <w:tcPr>
            <w:tcW w:w="2460" w:type="dxa"/>
            <w:vMerge w:val="restart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Организованное обеспечение учебного процесса</w:t>
            </w:r>
          </w:p>
        </w:tc>
        <w:tc>
          <w:tcPr>
            <w:tcW w:w="3738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 w:rsidRPr="00341E0F">
              <w:t>Подготовка к олимпиадам, конференциям, предметным конкурсам</w:t>
            </w:r>
          </w:p>
        </w:tc>
        <w:tc>
          <w:tcPr>
            <w:tcW w:w="1556" w:type="dxa"/>
            <w:vMerge w:val="restart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1</w:t>
            </w:r>
          </w:p>
        </w:tc>
        <w:tc>
          <w:tcPr>
            <w:tcW w:w="1942" w:type="dxa"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  <w:r>
              <w:t xml:space="preserve">Участие </w:t>
            </w:r>
          </w:p>
        </w:tc>
      </w:tr>
      <w:tr w:rsidR="00B75BBB" w:rsidTr="00EA51D3">
        <w:tc>
          <w:tcPr>
            <w:tcW w:w="726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3738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 w:rsidRPr="00341E0F">
              <w:t>Летний пленэр</w:t>
            </w:r>
            <w:r>
              <w:t xml:space="preserve"> (универсальный профиль)</w:t>
            </w:r>
          </w:p>
        </w:tc>
        <w:tc>
          <w:tcPr>
            <w:tcW w:w="1556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1942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Итоговая работа, развеска</w:t>
            </w:r>
          </w:p>
        </w:tc>
      </w:tr>
      <w:tr w:rsidR="00B75BBB" w:rsidTr="00EA51D3">
        <w:tc>
          <w:tcPr>
            <w:tcW w:w="726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3738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 w:rsidRPr="00341E0F">
              <w:t>Мастер-классы, экскурсии на предприятия</w:t>
            </w:r>
            <w:r>
              <w:t xml:space="preserve"> (</w:t>
            </w:r>
            <w:proofErr w:type="gramStart"/>
            <w:r>
              <w:t>технологический</w:t>
            </w:r>
            <w:proofErr w:type="gramEnd"/>
            <w:r>
              <w:t xml:space="preserve">, </w:t>
            </w:r>
            <w:proofErr w:type="spellStart"/>
            <w:r>
              <w:t>естественно-научный</w:t>
            </w:r>
            <w:proofErr w:type="spellEnd"/>
            <w:r>
              <w:t xml:space="preserve"> профили)</w:t>
            </w:r>
          </w:p>
        </w:tc>
        <w:tc>
          <w:tcPr>
            <w:tcW w:w="1556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1942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</w:tr>
      <w:tr w:rsidR="00B75BBB" w:rsidTr="00EA51D3">
        <w:tc>
          <w:tcPr>
            <w:tcW w:w="726" w:type="dxa"/>
            <w:vMerge w:val="restart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3</w:t>
            </w:r>
            <w:r w:rsidRPr="00341E0F">
              <w:t>.</w:t>
            </w:r>
          </w:p>
        </w:tc>
        <w:tc>
          <w:tcPr>
            <w:tcW w:w="2460" w:type="dxa"/>
            <w:vMerge w:val="restart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Жизнь ученических сообществ</w:t>
            </w:r>
          </w:p>
        </w:tc>
        <w:tc>
          <w:tcPr>
            <w:tcW w:w="3738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 w:rsidRPr="00341E0F">
              <w:t>Участие в лицейских мероприятиях</w:t>
            </w:r>
          </w:p>
        </w:tc>
        <w:tc>
          <w:tcPr>
            <w:tcW w:w="1556" w:type="dxa"/>
            <w:vMerge w:val="restart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 xml:space="preserve">0,6 </w:t>
            </w:r>
          </w:p>
        </w:tc>
        <w:tc>
          <w:tcPr>
            <w:tcW w:w="1942" w:type="dxa"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  <w:r>
              <w:t>План работы на год</w:t>
            </w:r>
          </w:p>
        </w:tc>
      </w:tr>
      <w:tr w:rsidR="00B75BBB" w:rsidTr="00EA51D3">
        <w:tc>
          <w:tcPr>
            <w:tcW w:w="726" w:type="dxa"/>
            <w:vMerge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3738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 w:rsidRPr="00341E0F">
              <w:t>Организация выставок творческих работ 2 раза в год</w:t>
            </w:r>
            <w:r>
              <w:t xml:space="preserve"> (универсальный профиль)</w:t>
            </w:r>
          </w:p>
        </w:tc>
        <w:tc>
          <w:tcPr>
            <w:tcW w:w="1556" w:type="dxa"/>
            <w:vMerge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1942" w:type="dxa"/>
          </w:tcPr>
          <w:p w:rsidR="00B75BBB" w:rsidRPr="00341E0F" w:rsidRDefault="00B75BBB" w:rsidP="00EA51D3">
            <w:pPr>
              <w:pStyle w:val="Default"/>
              <w:spacing w:line="300" w:lineRule="auto"/>
              <w:jc w:val="both"/>
            </w:pPr>
            <w:r>
              <w:t>Участие в выставках</w:t>
            </w:r>
          </w:p>
        </w:tc>
      </w:tr>
      <w:tr w:rsidR="00B75BBB" w:rsidTr="00EA51D3">
        <w:tc>
          <w:tcPr>
            <w:tcW w:w="726" w:type="dxa"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</w:tcPr>
          <w:p w:rsidR="00B75BBB" w:rsidRPr="00C41498" w:rsidRDefault="00B75BBB" w:rsidP="00EA51D3">
            <w:pPr>
              <w:pStyle w:val="Default"/>
              <w:spacing w:line="300" w:lineRule="auto"/>
              <w:jc w:val="both"/>
              <w:rPr>
                <w:b/>
              </w:rPr>
            </w:pPr>
            <w:r w:rsidRPr="00C41498">
              <w:rPr>
                <w:b/>
              </w:rPr>
              <w:t>Итого</w:t>
            </w:r>
          </w:p>
        </w:tc>
        <w:tc>
          <w:tcPr>
            <w:tcW w:w="3738" w:type="dxa"/>
          </w:tcPr>
          <w:p w:rsidR="00B75BBB" w:rsidRPr="00C41498" w:rsidRDefault="00B75BBB" w:rsidP="00EA51D3">
            <w:pPr>
              <w:pStyle w:val="Default"/>
              <w:spacing w:line="300" w:lineRule="auto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6" w:type="dxa"/>
          </w:tcPr>
          <w:p w:rsidR="00B75BBB" w:rsidRPr="00C41498" w:rsidRDefault="00B75BBB" w:rsidP="00EA51D3">
            <w:pPr>
              <w:pStyle w:val="Default"/>
              <w:spacing w:line="300" w:lineRule="auto"/>
              <w:jc w:val="both"/>
              <w:rPr>
                <w:b/>
              </w:rPr>
            </w:pPr>
            <w:r w:rsidRPr="00C41498">
              <w:rPr>
                <w:b/>
              </w:rPr>
              <w:t>3</w:t>
            </w:r>
          </w:p>
        </w:tc>
        <w:tc>
          <w:tcPr>
            <w:tcW w:w="1942" w:type="dxa"/>
          </w:tcPr>
          <w:p w:rsidR="00B75BBB" w:rsidRDefault="00B75BBB" w:rsidP="00EA51D3">
            <w:pPr>
              <w:pStyle w:val="Default"/>
              <w:spacing w:line="300" w:lineRule="auto"/>
              <w:jc w:val="both"/>
            </w:pPr>
          </w:p>
        </w:tc>
      </w:tr>
    </w:tbl>
    <w:p w:rsidR="00B75BBB" w:rsidRPr="00FE3944" w:rsidRDefault="00B75BBB" w:rsidP="00B75BBB">
      <w:pPr>
        <w:pStyle w:val="Default"/>
        <w:spacing w:line="300" w:lineRule="auto"/>
        <w:ind w:firstLine="708"/>
        <w:jc w:val="both"/>
      </w:pPr>
    </w:p>
    <w:p w:rsidR="00CA1DCB" w:rsidRDefault="00B75BBB"/>
    <w:sectPr w:rsidR="00CA1DCB" w:rsidSect="009A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6BBA"/>
    <w:multiLevelType w:val="hybridMultilevel"/>
    <w:tmpl w:val="18E693D8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75BBB"/>
    <w:rsid w:val="00971AC8"/>
    <w:rsid w:val="009A5CCA"/>
    <w:rsid w:val="00B75BBB"/>
    <w:rsid w:val="00C0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B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B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75B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B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B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2020-11-20T11:57:00Z</dcterms:created>
  <dcterms:modified xsi:type="dcterms:W3CDTF">2020-11-20T11:58:00Z</dcterms:modified>
</cp:coreProperties>
</file>